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4AE1E" w14:textId="3586EA41" w:rsidR="006D6F17" w:rsidRDefault="006D6F17" w:rsidP="006D6F17">
      <w:pPr>
        <w:spacing w:after="0" w:line="240" w:lineRule="auto"/>
        <w:contextualSpacing/>
        <w:jc w:val="center"/>
        <w:rPr>
          <w:b/>
          <w:sz w:val="28"/>
          <w:szCs w:val="28"/>
        </w:rPr>
      </w:pPr>
      <w:r>
        <w:rPr>
          <w:b/>
          <w:sz w:val="28"/>
          <w:szCs w:val="28"/>
        </w:rPr>
        <w:t>Continuing Disability Review (</w:t>
      </w:r>
      <w:r w:rsidRPr="005C30F2">
        <w:rPr>
          <w:b/>
          <w:sz w:val="28"/>
          <w:szCs w:val="28"/>
        </w:rPr>
        <w:t>CDR</w:t>
      </w:r>
      <w:r>
        <w:rPr>
          <w:b/>
          <w:sz w:val="28"/>
          <w:szCs w:val="28"/>
        </w:rPr>
        <w:t>)</w:t>
      </w:r>
      <w:r w:rsidRPr="005C30F2">
        <w:rPr>
          <w:b/>
          <w:sz w:val="28"/>
          <w:szCs w:val="28"/>
        </w:rPr>
        <w:t xml:space="preserve"> FAQ</w:t>
      </w:r>
      <w:r>
        <w:rPr>
          <w:b/>
          <w:sz w:val="28"/>
          <w:szCs w:val="28"/>
        </w:rPr>
        <w:t>s</w:t>
      </w:r>
    </w:p>
    <w:p w14:paraId="1F987677" w14:textId="43364E6B" w:rsidR="006D6F17" w:rsidRDefault="006D6F17" w:rsidP="006D6F17">
      <w:pPr>
        <w:spacing w:after="0" w:line="240" w:lineRule="auto"/>
        <w:contextualSpacing/>
        <w:jc w:val="center"/>
        <w:rPr>
          <w:b/>
          <w:i/>
          <w:sz w:val="28"/>
          <w:szCs w:val="28"/>
        </w:rPr>
      </w:pPr>
      <w:r w:rsidRPr="005C30F2">
        <w:rPr>
          <w:b/>
          <w:i/>
          <w:sz w:val="28"/>
          <w:szCs w:val="28"/>
        </w:rPr>
        <w:t>“SOAR</w:t>
      </w:r>
      <w:r w:rsidR="00B136D9">
        <w:rPr>
          <w:b/>
          <w:i/>
          <w:sz w:val="28"/>
          <w:szCs w:val="28"/>
        </w:rPr>
        <w:t xml:space="preserve"> Representation with Continuing Disability Reviews (CDRs)</w:t>
      </w:r>
      <w:r w:rsidRPr="005C30F2">
        <w:rPr>
          <w:b/>
          <w:i/>
          <w:sz w:val="28"/>
          <w:szCs w:val="28"/>
        </w:rPr>
        <w:t xml:space="preserve">” </w:t>
      </w:r>
      <w:r w:rsidRPr="00D76C01">
        <w:rPr>
          <w:b/>
          <w:sz w:val="28"/>
          <w:szCs w:val="28"/>
        </w:rPr>
        <w:t>Webinar</w:t>
      </w:r>
    </w:p>
    <w:p w14:paraId="583DCF25" w14:textId="77777777" w:rsidR="00D76C01" w:rsidRPr="00D76C01" w:rsidRDefault="00D76C01" w:rsidP="006D6F17">
      <w:pPr>
        <w:spacing w:after="0" w:line="240" w:lineRule="auto"/>
        <w:contextualSpacing/>
        <w:jc w:val="center"/>
        <w:rPr>
          <w:sz w:val="28"/>
          <w:szCs w:val="28"/>
        </w:rPr>
      </w:pPr>
    </w:p>
    <w:p w14:paraId="749FD063" w14:textId="2B9BDC90" w:rsidR="00D76C01" w:rsidRPr="00D76C01" w:rsidRDefault="00D76C01" w:rsidP="006D6F17">
      <w:pPr>
        <w:spacing w:after="0" w:line="240" w:lineRule="auto"/>
        <w:contextualSpacing/>
        <w:jc w:val="center"/>
        <w:rPr>
          <w:sz w:val="28"/>
          <w:szCs w:val="28"/>
        </w:rPr>
      </w:pPr>
      <w:r w:rsidRPr="00D76C01">
        <w:rPr>
          <w:sz w:val="28"/>
          <w:szCs w:val="28"/>
        </w:rPr>
        <w:t>Webinar archive: http://soarworks.prainc.com/article/soar-representation-continuing-disability-reviews-cdrs</w:t>
      </w:r>
    </w:p>
    <w:p w14:paraId="3705643C" w14:textId="77777777" w:rsidR="006D6F17" w:rsidRPr="00D76C01" w:rsidRDefault="006D6F17" w:rsidP="00D76C01">
      <w:pPr>
        <w:spacing w:after="0" w:line="240" w:lineRule="auto"/>
        <w:contextualSpacing/>
        <w:rPr>
          <w:sz w:val="28"/>
          <w:szCs w:val="28"/>
        </w:rPr>
      </w:pPr>
    </w:p>
    <w:p w14:paraId="65270F05" w14:textId="1A0A94B9" w:rsidR="00FC44B1" w:rsidRPr="005C30F2" w:rsidRDefault="00B136D9" w:rsidP="00FC44B1">
      <w:pPr>
        <w:pStyle w:val="ListParagraph"/>
        <w:numPr>
          <w:ilvl w:val="0"/>
          <w:numId w:val="8"/>
        </w:numPr>
        <w:ind w:left="360"/>
        <w:rPr>
          <w:sz w:val="24"/>
          <w:szCs w:val="24"/>
        </w:rPr>
      </w:pPr>
      <w:r>
        <w:rPr>
          <w:b/>
          <w:sz w:val="24"/>
          <w:szCs w:val="24"/>
        </w:rPr>
        <w:t>How did CDR</w:t>
      </w:r>
      <w:r w:rsidR="00C534A4" w:rsidRPr="005C30F2">
        <w:rPr>
          <w:b/>
          <w:sz w:val="24"/>
          <w:szCs w:val="24"/>
        </w:rPr>
        <w:t>s come about?</w:t>
      </w:r>
      <w:r w:rsidR="00C534A4" w:rsidRPr="005C30F2">
        <w:rPr>
          <w:sz w:val="24"/>
          <w:szCs w:val="24"/>
        </w:rPr>
        <w:t xml:space="preserve">  In 1980, </w:t>
      </w:r>
      <w:r w:rsidR="002F4C6F" w:rsidRPr="005C30F2">
        <w:rPr>
          <w:sz w:val="24"/>
          <w:szCs w:val="24"/>
        </w:rPr>
        <w:t>legislation created</w:t>
      </w:r>
      <w:r w:rsidR="00C534A4" w:rsidRPr="005C30F2">
        <w:rPr>
          <w:sz w:val="24"/>
          <w:szCs w:val="24"/>
        </w:rPr>
        <w:t xml:space="preserve"> a requirement that SSA conduct CDR</w:t>
      </w:r>
      <w:r w:rsidR="00DE75FD" w:rsidRPr="005C30F2">
        <w:rPr>
          <w:sz w:val="24"/>
          <w:szCs w:val="24"/>
        </w:rPr>
        <w:t>s</w:t>
      </w:r>
      <w:r w:rsidR="00C534A4" w:rsidRPr="005C30F2">
        <w:rPr>
          <w:sz w:val="24"/>
          <w:szCs w:val="24"/>
        </w:rPr>
        <w:t xml:space="preserve"> every 3 years for beneficiaries whose impairment(s) were not considered permanent. The CDR review had a particularly harmful impact on beneficiaries with severe mental illness. In just 2 years, more than 80,000 had their benefits terminated. For many, this was their only source of income and many experience</w:t>
      </w:r>
      <w:r>
        <w:rPr>
          <w:sz w:val="24"/>
          <w:szCs w:val="24"/>
        </w:rPr>
        <w:t>d</w:t>
      </w:r>
      <w:r w:rsidR="00C534A4" w:rsidRPr="005C30F2">
        <w:rPr>
          <w:sz w:val="24"/>
          <w:szCs w:val="24"/>
        </w:rPr>
        <w:t xml:space="preserve"> extreme hardship.</w:t>
      </w:r>
      <w:r w:rsidR="0075364C" w:rsidRPr="005C30F2">
        <w:rPr>
          <w:sz w:val="24"/>
          <w:szCs w:val="24"/>
        </w:rPr>
        <w:t xml:space="preserve"> Courts ordered SSA to apply a “medical improvement </w:t>
      </w:r>
      <w:r w:rsidR="00B978A3">
        <w:rPr>
          <w:sz w:val="24"/>
          <w:szCs w:val="24"/>
        </w:rPr>
        <w:t xml:space="preserve">review </w:t>
      </w:r>
      <w:r w:rsidR="0075364C" w:rsidRPr="005C30F2">
        <w:rPr>
          <w:sz w:val="24"/>
          <w:szCs w:val="24"/>
        </w:rPr>
        <w:t>standard [MIRS]” before terminating disability benefits.  In April 1984, SSA stopped all CDRs until a revised law could be established</w:t>
      </w:r>
      <w:r w:rsidR="00DE75FD" w:rsidRPr="005C30F2">
        <w:rPr>
          <w:sz w:val="24"/>
          <w:szCs w:val="24"/>
        </w:rPr>
        <w:t xml:space="preserve"> which was called Social Security Disability </w:t>
      </w:r>
      <w:r w:rsidR="00B978A3">
        <w:rPr>
          <w:sz w:val="24"/>
          <w:szCs w:val="24"/>
        </w:rPr>
        <w:t>B</w:t>
      </w:r>
      <w:r w:rsidR="00DE75FD" w:rsidRPr="005C30F2">
        <w:rPr>
          <w:sz w:val="24"/>
          <w:szCs w:val="24"/>
        </w:rPr>
        <w:t>enefits Reform Act of 1984</w:t>
      </w:r>
      <w:r w:rsidR="0075364C" w:rsidRPr="005C30F2">
        <w:rPr>
          <w:sz w:val="24"/>
          <w:szCs w:val="24"/>
        </w:rPr>
        <w:t>. The intent of the standard was that benefits should be continued if the individual’s condition remains the same as or worse tha</w:t>
      </w:r>
      <w:r w:rsidR="00B978A3">
        <w:rPr>
          <w:sz w:val="24"/>
          <w:szCs w:val="24"/>
        </w:rPr>
        <w:t>n</w:t>
      </w:r>
      <w:r w:rsidR="0075364C" w:rsidRPr="005C30F2">
        <w:rPr>
          <w:sz w:val="24"/>
          <w:szCs w:val="24"/>
        </w:rPr>
        <w:t xml:space="preserve"> it was when benefits were first granted. </w:t>
      </w:r>
      <w:r w:rsidR="00C534A4" w:rsidRPr="005C30F2">
        <w:rPr>
          <w:sz w:val="24"/>
          <w:szCs w:val="24"/>
        </w:rPr>
        <w:t xml:space="preserve"> </w:t>
      </w:r>
      <w:r w:rsidR="00DE75FD" w:rsidRPr="005C30F2">
        <w:rPr>
          <w:sz w:val="24"/>
          <w:szCs w:val="24"/>
        </w:rPr>
        <w:t>In 2014, the Social Security Advisory Board Disability Policy Panel made the following recommendations</w:t>
      </w:r>
      <w:r w:rsidR="00B978A3">
        <w:rPr>
          <w:sz w:val="24"/>
          <w:szCs w:val="24"/>
        </w:rPr>
        <w:t>:</w:t>
      </w:r>
      <w:r w:rsidR="00DE75FD" w:rsidRPr="005C30F2">
        <w:rPr>
          <w:sz w:val="24"/>
          <w:szCs w:val="24"/>
        </w:rPr>
        <w:t xml:space="preserve"> 1) Retain MIRS, and 2) but, evaluate exceptions. </w:t>
      </w:r>
      <w:r w:rsidR="002F4C6F" w:rsidRPr="005C30F2">
        <w:rPr>
          <w:sz w:val="24"/>
          <w:szCs w:val="24"/>
        </w:rPr>
        <w:t>The SOAR TA Center continues to monitor and will provide timely guidance on any policy changes.</w:t>
      </w:r>
    </w:p>
    <w:p w14:paraId="78DD2B98" w14:textId="77777777" w:rsidR="005C30F2" w:rsidRPr="00C173DB" w:rsidRDefault="00C534A4" w:rsidP="00C173DB">
      <w:pPr>
        <w:ind w:left="360"/>
        <w:rPr>
          <w:sz w:val="24"/>
          <w:szCs w:val="24"/>
        </w:rPr>
      </w:pPr>
      <w:r w:rsidRPr="00C173DB">
        <w:rPr>
          <w:sz w:val="24"/>
          <w:szCs w:val="24"/>
        </w:rPr>
        <w:t xml:space="preserve">[See </w:t>
      </w:r>
      <w:hyperlink r:id="rId7" w:history="1">
        <w:r w:rsidRPr="00FC44B1">
          <w:rPr>
            <w:rStyle w:val="Hyperlink"/>
            <w:sz w:val="24"/>
            <w:szCs w:val="24"/>
          </w:rPr>
          <w:t>http://www.ssa.gov/policy/docs/ssb/v48n4/v48n4p5.pdf</w:t>
        </w:r>
      </w:hyperlink>
      <w:r w:rsidR="005C30F2" w:rsidRPr="00C173DB">
        <w:rPr>
          <w:sz w:val="24"/>
          <w:szCs w:val="24"/>
        </w:rPr>
        <w:t>.]</w:t>
      </w:r>
    </w:p>
    <w:p w14:paraId="0F5D6F60" w14:textId="22F82CCA" w:rsidR="00FC44B1" w:rsidRPr="00C173DB" w:rsidRDefault="0075364C" w:rsidP="00C173DB">
      <w:pPr>
        <w:pStyle w:val="ListParagraph"/>
        <w:numPr>
          <w:ilvl w:val="0"/>
          <w:numId w:val="8"/>
        </w:numPr>
        <w:ind w:left="360"/>
        <w:rPr>
          <w:sz w:val="24"/>
          <w:szCs w:val="24"/>
        </w:rPr>
      </w:pPr>
      <w:r w:rsidRPr="00C173DB">
        <w:rPr>
          <w:b/>
          <w:sz w:val="24"/>
          <w:szCs w:val="24"/>
        </w:rPr>
        <w:t xml:space="preserve">What is “medical improvement”? </w:t>
      </w:r>
      <w:r w:rsidRPr="00C173DB">
        <w:rPr>
          <w:sz w:val="24"/>
          <w:szCs w:val="24"/>
        </w:rPr>
        <w:t xml:space="preserve"> “Medical improvement” is defined as: </w:t>
      </w:r>
      <w:r w:rsidR="00B63E1F" w:rsidRPr="00C173DB">
        <w:rPr>
          <w:sz w:val="24"/>
          <w:szCs w:val="24"/>
        </w:rPr>
        <w:t>A de</w:t>
      </w:r>
      <w:r w:rsidRPr="00C173DB">
        <w:rPr>
          <w:sz w:val="24"/>
          <w:szCs w:val="24"/>
        </w:rPr>
        <w:t>crease in the medical severity of your impairment(s) which was present at the time of the most recent favorable medical decision that you were disable</w:t>
      </w:r>
      <w:r w:rsidR="00DE75FD" w:rsidRPr="00C173DB">
        <w:rPr>
          <w:sz w:val="24"/>
          <w:szCs w:val="24"/>
        </w:rPr>
        <w:t>d</w:t>
      </w:r>
      <w:r w:rsidRPr="00C173DB">
        <w:rPr>
          <w:sz w:val="24"/>
          <w:szCs w:val="24"/>
        </w:rPr>
        <w:t xml:space="preserve"> or continued to be disabled. </w:t>
      </w:r>
    </w:p>
    <w:p w14:paraId="038660EB" w14:textId="25DB01F9" w:rsidR="00FC44B1" w:rsidRPr="00C173DB" w:rsidRDefault="0075364C" w:rsidP="00C173DB">
      <w:pPr>
        <w:ind w:left="360"/>
        <w:rPr>
          <w:sz w:val="24"/>
          <w:szCs w:val="24"/>
        </w:rPr>
      </w:pPr>
      <w:r w:rsidRPr="00C173DB">
        <w:rPr>
          <w:sz w:val="24"/>
          <w:szCs w:val="24"/>
        </w:rPr>
        <w:t>[See 20 C.F.R §§404.159(b)(1)(i)]</w:t>
      </w:r>
    </w:p>
    <w:p w14:paraId="0674385F" w14:textId="520DF3E1" w:rsidR="00C534A4" w:rsidRPr="00C173DB" w:rsidRDefault="00403D04" w:rsidP="00C173DB">
      <w:pPr>
        <w:pStyle w:val="ListParagraph"/>
        <w:numPr>
          <w:ilvl w:val="0"/>
          <w:numId w:val="8"/>
        </w:numPr>
        <w:ind w:left="360"/>
        <w:rPr>
          <w:sz w:val="24"/>
          <w:szCs w:val="24"/>
        </w:rPr>
      </w:pPr>
      <w:r w:rsidRPr="00C173DB">
        <w:rPr>
          <w:b/>
          <w:sz w:val="24"/>
          <w:szCs w:val="24"/>
        </w:rPr>
        <w:t>Are there any exceptions to the application of MIR</w:t>
      </w:r>
      <w:r w:rsidR="00FC44B1" w:rsidRPr="00C173DB">
        <w:rPr>
          <w:b/>
          <w:sz w:val="24"/>
          <w:szCs w:val="24"/>
        </w:rPr>
        <w:t>S</w:t>
      </w:r>
      <w:r w:rsidRPr="00C173DB">
        <w:rPr>
          <w:b/>
          <w:sz w:val="24"/>
          <w:szCs w:val="24"/>
        </w:rPr>
        <w:t>?</w:t>
      </w:r>
      <w:r w:rsidRPr="00C173DB">
        <w:rPr>
          <w:sz w:val="24"/>
          <w:szCs w:val="24"/>
        </w:rPr>
        <w:t xml:space="preserve"> Yes, SSA’s regulations set forth the sequence of review for determining whether disability has ended. These are divided into 2 groups. Note that if one of the exceptions in the second group applies, a finding of “no disability” will result and benefits terminate, even if there has been no medical improvement and the individual cannot currently engage in </w:t>
      </w:r>
      <w:r w:rsidR="00FC44B1" w:rsidRPr="00C173DB">
        <w:rPr>
          <w:sz w:val="24"/>
          <w:szCs w:val="24"/>
        </w:rPr>
        <w:t>Substantial Gainful Activity (</w:t>
      </w:r>
      <w:r w:rsidRPr="00C173DB">
        <w:rPr>
          <w:sz w:val="24"/>
          <w:szCs w:val="24"/>
        </w:rPr>
        <w:t>SGA</w:t>
      </w:r>
      <w:r w:rsidR="00FC44B1" w:rsidRPr="00C173DB">
        <w:rPr>
          <w:sz w:val="24"/>
          <w:szCs w:val="24"/>
        </w:rPr>
        <w:t>)</w:t>
      </w:r>
      <w:r w:rsidRPr="00C173DB">
        <w:rPr>
          <w:sz w:val="24"/>
          <w:szCs w:val="24"/>
        </w:rPr>
        <w:t xml:space="preserve">.  </w:t>
      </w:r>
    </w:p>
    <w:p w14:paraId="33A33688" w14:textId="77777777" w:rsidR="00403D04" w:rsidRPr="007424CF" w:rsidRDefault="00403D04" w:rsidP="006D6F17">
      <w:pPr>
        <w:pStyle w:val="ListParagraph"/>
        <w:numPr>
          <w:ilvl w:val="1"/>
          <w:numId w:val="4"/>
        </w:numPr>
        <w:ind w:left="1080"/>
        <w:rPr>
          <w:i/>
          <w:sz w:val="24"/>
          <w:szCs w:val="24"/>
        </w:rPr>
      </w:pPr>
      <w:r w:rsidRPr="007424CF">
        <w:rPr>
          <w:i/>
          <w:sz w:val="24"/>
          <w:szCs w:val="24"/>
        </w:rPr>
        <w:t>First Group</w:t>
      </w:r>
    </w:p>
    <w:p w14:paraId="176FC4B8" w14:textId="77777777" w:rsidR="00403D04" w:rsidRDefault="00403D04" w:rsidP="006D6F17">
      <w:pPr>
        <w:pStyle w:val="ListParagraph"/>
        <w:numPr>
          <w:ilvl w:val="2"/>
          <w:numId w:val="4"/>
        </w:numPr>
        <w:ind w:left="1800"/>
        <w:rPr>
          <w:sz w:val="24"/>
          <w:szCs w:val="24"/>
        </w:rPr>
      </w:pPr>
      <w:r>
        <w:rPr>
          <w:sz w:val="24"/>
          <w:szCs w:val="24"/>
        </w:rPr>
        <w:t>SGA</w:t>
      </w:r>
    </w:p>
    <w:p w14:paraId="35DA7AFF" w14:textId="77777777" w:rsidR="00403D04" w:rsidRDefault="00403D04" w:rsidP="006D6F17">
      <w:pPr>
        <w:pStyle w:val="ListParagraph"/>
        <w:numPr>
          <w:ilvl w:val="2"/>
          <w:numId w:val="4"/>
        </w:numPr>
        <w:ind w:left="1800"/>
        <w:rPr>
          <w:sz w:val="24"/>
          <w:szCs w:val="24"/>
        </w:rPr>
      </w:pPr>
      <w:r>
        <w:rPr>
          <w:sz w:val="24"/>
          <w:szCs w:val="24"/>
        </w:rPr>
        <w:t>Advances in medical or vocational technology or therapy</w:t>
      </w:r>
    </w:p>
    <w:p w14:paraId="19AD4C4D" w14:textId="77777777" w:rsidR="00403D04" w:rsidRDefault="00403D04" w:rsidP="006D6F17">
      <w:pPr>
        <w:pStyle w:val="ListParagraph"/>
        <w:numPr>
          <w:ilvl w:val="2"/>
          <w:numId w:val="4"/>
        </w:numPr>
        <w:ind w:left="1800"/>
        <w:rPr>
          <w:sz w:val="24"/>
          <w:szCs w:val="24"/>
        </w:rPr>
      </w:pPr>
      <w:r>
        <w:rPr>
          <w:sz w:val="24"/>
          <w:szCs w:val="24"/>
        </w:rPr>
        <w:t>Vocational therapy</w:t>
      </w:r>
    </w:p>
    <w:p w14:paraId="2854DA46" w14:textId="77777777" w:rsidR="00403D04" w:rsidRDefault="00403D04" w:rsidP="006D6F17">
      <w:pPr>
        <w:pStyle w:val="ListParagraph"/>
        <w:numPr>
          <w:ilvl w:val="2"/>
          <w:numId w:val="4"/>
        </w:numPr>
        <w:ind w:left="1800"/>
        <w:rPr>
          <w:sz w:val="24"/>
          <w:szCs w:val="24"/>
        </w:rPr>
      </w:pPr>
      <w:r>
        <w:rPr>
          <w:sz w:val="24"/>
          <w:szCs w:val="24"/>
        </w:rPr>
        <w:t>New or improved diagnostic techniques or evaluations</w:t>
      </w:r>
    </w:p>
    <w:p w14:paraId="5A468106" w14:textId="77777777" w:rsidR="00403D04" w:rsidRDefault="00403D04" w:rsidP="006D6F17">
      <w:pPr>
        <w:pStyle w:val="ListParagraph"/>
        <w:numPr>
          <w:ilvl w:val="2"/>
          <w:numId w:val="4"/>
        </w:numPr>
        <w:ind w:left="1800"/>
        <w:rPr>
          <w:sz w:val="24"/>
          <w:szCs w:val="24"/>
        </w:rPr>
      </w:pPr>
      <w:r>
        <w:rPr>
          <w:sz w:val="24"/>
          <w:szCs w:val="24"/>
        </w:rPr>
        <w:t>The prior disability decision was in error</w:t>
      </w:r>
    </w:p>
    <w:p w14:paraId="5DD0BBF6" w14:textId="77777777" w:rsidR="00B6269E" w:rsidRPr="007424CF" w:rsidRDefault="00B6269E" w:rsidP="006D6F17">
      <w:pPr>
        <w:pStyle w:val="ListParagraph"/>
        <w:numPr>
          <w:ilvl w:val="1"/>
          <w:numId w:val="4"/>
        </w:numPr>
        <w:ind w:left="1080"/>
        <w:rPr>
          <w:i/>
          <w:sz w:val="24"/>
          <w:szCs w:val="24"/>
        </w:rPr>
      </w:pPr>
      <w:r w:rsidRPr="007424CF">
        <w:rPr>
          <w:i/>
          <w:sz w:val="24"/>
          <w:szCs w:val="24"/>
        </w:rPr>
        <w:t>Second Group</w:t>
      </w:r>
    </w:p>
    <w:p w14:paraId="2BC7C514" w14:textId="77777777" w:rsidR="00B6269E" w:rsidRDefault="00B6269E" w:rsidP="006D6F17">
      <w:pPr>
        <w:pStyle w:val="ListParagraph"/>
        <w:numPr>
          <w:ilvl w:val="2"/>
          <w:numId w:val="4"/>
        </w:numPr>
        <w:ind w:left="1800"/>
        <w:rPr>
          <w:sz w:val="24"/>
          <w:szCs w:val="24"/>
        </w:rPr>
      </w:pPr>
      <w:r>
        <w:rPr>
          <w:sz w:val="24"/>
          <w:szCs w:val="24"/>
        </w:rPr>
        <w:t>Fraud</w:t>
      </w:r>
    </w:p>
    <w:p w14:paraId="29E05BA5" w14:textId="77777777" w:rsidR="00B6269E" w:rsidRDefault="00B6269E" w:rsidP="006D6F17">
      <w:pPr>
        <w:pStyle w:val="ListParagraph"/>
        <w:numPr>
          <w:ilvl w:val="2"/>
          <w:numId w:val="4"/>
        </w:numPr>
        <w:ind w:left="1800"/>
        <w:rPr>
          <w:sz w:val="24"/>
          <w:szCs w:val="24"/>
        </w:rPr>
      </w:pPr>
      <w:r>
        <w:rPr>
          <w:sz w:val="24"/>
          <w:szCs w:val="24"/>
        </w:rPr>
        <w:lastRenderedPageBreak/>
        <w:t>Failure to cooperate</w:t>
      </w:r>
    </w:p>
    <w:p w14:paraId="1F289871" w14:textId="77777777" w:rsidR="00B6269E" w:rsidRDefault="00B6269E" w:rsidP="006D6F17">
      <w:pPr>
        <w:pStyle w:val="ListParagraph"/>
        <w:numPr>
          <w:ilvl w:val="2"/>
          <w:numId w:val="4"/>
        </w:numPr>
        <w:ind w:left="1800"/>
        <w:rPr>
          <w:sz w:val="24"/>
          <w:szCs w:val="24"/>
        </w:rPr>
      </w:pPr>
      <w:r>
        <w:rPr>
          <w:sz w:val="24"/>
          <w:szCs w:val="24"/>
        </w:rPr>
        <w:t>Inability to locate</w:t>
      </w:r>
    </w:p>
    <w:p w14:paraId="10DBB6D4" w14:textId="77777777" w:rsidR="00FC44B1" w:rsidRDefault="00B6269E" w:rsidP="006D6F17">
      <w:pPr>
        <w:pStyle w:val="ListParagraph"/>
        <w:numPr>
          <w:ilvl w:val="2"/>
          <w:numId w:val="4"/>
        </w:numPr>
        <w:ind w:left="1800"/>
        <w:rPr>
          <w:sz w:val="24"/>
          <w:szCs w:val="24"/>
        </w:rPr>
      </w:pPr>
      <w:r>
        <w:rPr>
          <w:sz w:val="24"/>
          <w:szCs w:val="24"/>
        </w:rPr>
        <w:t>Failure to follow prescribed treatment</w:t>
      </w:r>
      <w:r w:rsidR="005C30F2">
        <w:rPr>
          <w:sz w:val="24"/>
          <w:szCs w:val="24"/>
        </w:rPr>
        <w:t xml:space="preserve"> </w:t>
      </w:r>
    </w:p>
    <w:p w14:paraId="362CEEFF" w14:textId="7C51F14D" w:rsidR="005C30F2" w:rsidRDefault="0075364C" w:rsidP="00C173DB">
      <w:pPr>
        <w:ind w:left="360"/>
      </w:pPr>
      <w:r w:rsidRPr="00C173DB">
        <w:rPr>
          <w:sz w:val="24"/>
          <w:szCs w:val="24"/>
        </w:rPr>
        <w:t>[See 20 C.F.R §§404.159(b)(1)(i)]</w:t>
      </w:r>
    </w:p>
    <w:p w14:paraId="74D96D99" w14:textId="77777777" w:rsidR="00B6269E" w:rsidRPr="005C30F2" w:rsidRDefault="005C30F2" w:rsidP="00FC44B1">
      <w:pPr>
        <w:ind w:left="360" w:hanging="360"/>
        <w:rPr>
          <w:sz w:val="24"/>
          <w:szCs w:val="24"/>
        </w:rPr>
      </w:pPr>
      <w:r w:rsidRPr="005C30F2">
        <w:rPr>
          <w:sz w:val="24"/>
          <w:szCs w:val="24"/>
        </w:rPr>
        <w:t>4.</w:t>
      </w:r>
      <w:r w:rsidRPr="005C30F2">
        <w:rPr>
          <w:b/>
          <w:sz w:val="24"/>
          <w:szCs w:val="24"/>
        </w:rPr>
        <w:tab/>
      </w:r>
      <w:r w:rsidR="00B6269E" w:rsidRPr="005C30F2">
        <w:rPr>
          <w:b/>
          <w:sz w:val="24"/>
          <w:szCs w:val="24"/>
        </w:rPr>
        <w:t>When do benefits terminate?</w:t>
      </w:r>
      <w:r w:rsidR="00B6269E" w:rsidRPr="005C30F2">
        <w:rPr>
          <w:sz w:val="24"/>
          <w:szCs w:val="24"/>
        </w:rPr>
        <w:t xml:space="preserve">  SSA will find disability ended in the earliest of the following months: </w:t>
      </w:r>
    </w:p>
    <w:p w14:paraId="544E72ED" w14:textId="77777777" w:rsidR="00B6269E" w:rsidRDefault="00B6269E" w:rsidP="006D6F17">
      <w:pPr>
        <w:pStyle w:val="ListParagraph"/>
        <w:numPr>
          <w:ilvl w:val="0"/>
          <w:numId w:val="5"/>
        </w:numPr>
        <w:ind w:left="1080"/>
        <w:rPr>
          <w:sz w:val="24"/>
          <w:szCs w:val="24"/>
        </w:rPr>
      </w:pPr>
      <w:r>
        <w:rPr>
          <w:sz w:val="24"/>
          <w:szCs w:val="24"/>
        </w:rPr>
        <w:t>The month evidence shows the individual is no longer disabled and the individual was disabled only for a specified period of time in the past;</w:t>
      </w:r>
    </w:p>
    <w:p w14:paraId="609BE11C" w14:textId="77777777" w:rsidR="00B6269E" w:rsidRDefault="00B6269E" w:rsidP="006D6F17">
      <w:pPr>
        <w:pStyle w:val="ListParagraph"/>
        <w:numPr>
          <w:ilvl w:val="0"/>
          <w:numId w:val="5"/>
        </w:numPr>
        <w:ind w:left="1080"/>
        <w:rPr>
          <w:sz w:val="24"/>
          <w:szCs w:val="24"/>
        </w:rPr>
      </w:pPr>
      <w:r>
        <w:rPr>
          <w:sz w:val="24"/>
          <w:szCs w:val="24"/>
        </w:rPr>
        <w:t xml:space="preserve">The month the evidence shows the individual </w:t>
      </w:r>
      <w:r w:rsidR="00DE75FD">
        <w:rPr>
          <w:sz w:val="24"/>
          <w:szCs w:val="24"/>
        </w:rPr>
        <w:t xml:space="preserve">is </w:t>
      </w:r>
      <w:r>
        <w:rPr>
          <w:sz w:val="24"/>
          <w:szCs w:val="24"/>
        </w:rPr>
        <w:t>no longer disabled but not earlier than the month in which SSA notifies the individual;</w:t>
      </w:r>
    </w:p>
    <w:p w14:paraId="5717E868" w14:textId="77777777" w:rsidR="00B6269E" w:rsidRDefault="00B6269E" w:rsidP="006D6F17">
      <w:pPr>
        <w:pStyle w:val="ListParagraph"/>
        <w:numPr>
          <w:ilvl w:val="0"/>
          <w:numId w:val="5"/>
        </w:numPr>
        <w:ind w:left="1080"/>
        <w:rPr>
          <w:sz w:val="24"/>
          <w:szCs w:val="24"/>
        </w:rPr>
      </w:pPr>
      <w:r>
        <w:rPr>
          <w:sz w:val="24"/>
          <w:szCs w:val="24"/>
        </w:rPr>
        <w:t xml:space="preserve">The month in which the individual returns to full-time work with no significant medical restrictions and acknowledges that medical improvement has occurred and SSA expected medical improvement; </w:t>
      </w:r>
    </w:p>
    <w:p w14:paraId="4B3BB393" w14:textId="77777777" w:rsidR="00B6269E" w:rsidRDefault="00B6269E" w:rsidP="006D6F17">
      <w:pPr>
        <w:pStyle w:val="ListParagraph"/>
        <w:numPr>
          <w:ilvl w:val="0"/>
          <w:numId w:val="5"/>
        </w:numPr>
        <w:ind w:left="1080"/>
        <w:rPr>
          <w:sz w:val="24"/>
          <w:szCs w:val="24"/>
        </w:rPr>
      </w:pPr>
      <w:r>
        <w:rPr>
          <w:sz w:val="24"/>
          <w:szCs w:val="24"/>
        </w:rPr>
        <w:t xml:space="preserve">The month in which the individual fails without good cause to follow prescribed treatment; </w:t>
      </w:r>
    </w:p>
    <w:p w14:paraId="4C64E76B" w14:textId="77777777" w:rsidR="00B6269E" w:rsidRDefault="00B6269E" w:rsidP="006D6F17">
      <w:pPr>
        <w:pStyle w:val="ListParagraph"/>
        <w:numPr>
          <w:ilvl w:val="0"/>
          <w:numId w:val="5"/>
        </w:numPr>
        <w:ind w:left="1080"/>
        <w:rPr>
          <w:sz w:val="24"/>
          <w:szCs w:val="24"/>
        </w:rPr>
      </w:pPr>
      <w:r>
        <w:rPr>
          <w:sz w:val="24"/>
          <w:szCs w:val="24"/>
        </w:rPr>
        <w:t xml:space="preserve">The first month the individual was told by his/her physician that s/he could return to work, in the absence of substantial conflict between the physician’s and the individual’s statements concerning the individual’s awareness of capacity for work and the earlier date is supported by substantial evidence; </w:t>
      </w:r>
    </w:p>
    <w:p w14:paraId="6617689B" w14:textId="77777777" w:rsidR="00FC44B1" w:rsidRDefault="00B6269E" w:rsidP="006D6F17">
      <w:pPr>
        <w:pStyle w:val="ListParagraph"/>
        <w:numPr>
          <w:ilvl w:val="0"/>
          <w:numId w:val="5"/>
        </w:numPr>
        <w:ind w:left="1080"/>
        <w:rPr>
          <w:sz w:val="24"/>
          <w:szCs w:val="24"/>
        </w:rPr>
      </w:pPr>
      <w:r>
        <w:rPr>
          <w:sz w:val="24"/>
          <w:szCs w:val="24"/>
        </w:rPr>
        <w:t xml:space="preserve">The first month in which the individual failed without good cause to cooperate. </w:t>
      </w:r>
    </w:p>
    <w:p w14:paraId="560EC59E" w14:textId="2B14DFBF" w:rsidR="000C09FC" w:rsidRPr="00C173DB" w:rsidRDefault="00B6269E" w:rsidP="00C173DB">
      <w:pPr>
        <w:ind w:left="720"/>
        <w:rPr>
          <w:sz w:val="24"/>
          <w:szCs w:val="24"/>
        </w:rPr>
      </w:pPr>
      <w:r w:rsidRPr="00C173DB">
        <w:rPr>
          <w:sz w:val="24"/>
          <w:szCs w:val="24"/>
        </w:rPr>
        <w:t>[See 20 C.F.R. §</w:t>
      </w:r>
      <w:r w:rsidR="00801BC3" w:rsidRPr="00C173DB">
        <w:rPr>
          <w:sz w:val="24"/>
          <w:szCs w:val="24"/>
        </w:rPr>
        <w:t>§ 404.159(g), 416.994(b)(6)]</w:t>
      </w:r>
    </w:p>
    <w:p w14:paraId="0FC01EC2" w14:textId="77777777" w:rsidR="005C30F2" w:rsidRDefault="005C30F2" w:rsidP="00FC44B1">
      <w:pPr>
        <w:ind w:left="360" w:hanging="360"/>
        <w:rPr>
          <w:sz w:val="24"/>
          <w:szCs w:val="24"/>
        </w:rPr>
      </w:pPr>
      <w:r w:rsidRPr="005C30F2">
        <w:rPr>
          <w:sz w:val="24"/>
          <w:szCs w:val="24"/>
        </w:rPr>
        <w:t>5.</w:t>
      </w:r>
      <w:r>
        <w:rPr>
          <w:b/>
          <w:sz w:val="24"/>
          <w:szCs w:val="24"/>
        </w:rPr>
        <w:tab/>
      </w:r>
      <w:r w:rsidR="00AF6F72" w:rsidRPr="005C30F2">
        <w:rPr>
          <w:b/>
          <w:sz w:val="24"/>
          <w:szCs w:val="24"/>
        </w:rPr>
        <w:t>What is the reversal rate for CDRs?</w:t>
      </w:r>
      <w:r w:rsidR="00AF6F72" w:rsidRPr="005C30F2">
        <w:rPr>
          <w:sz w:val="24"/>
          <w:szCs w:val="24"/>
        </w:rPr>
        <w:t xml:space="preserve">  The reversal rates are very low. </w:t>
      </w:r>
      <w:r w:rsidR="00DE75FD" w:rsidRPr="005C30F2">
        <w:rPr>
          <w:sz w:val="24"/>
          <w:szCs w:val="24"/>
        </w:rPr>
        <w:t>Therefore, the SOAR case manager is able to update the medical record with new medical evidence, MSR and other supporting documents to DDS. This process for CDRs as it relates to documenting disability is very similar to using the SOAR process at the initial and reconsideration stages.</w:t>
      </w:r>
    </w:p>
    <w:p w14:paraId="743B2EB6" w14:textId="77777777" w:rsidR="00FC44B1" w:rsidRDefault="005C30F2" w:rsidP="00FC44B1">
      <w:pPr>
        <w:ind w:left="360" w:hanging="360"/>
        <w:rPr>
          <w:sz w:val="24"/>
          <w:szCs w:val="24"/>
        </w:rPr>
      </w:pPr>
      <w:r w:rsidRPr="005C30F2">
        <w:rPr>
          <w:sz w:val="24"/>
          <w:szCs w:val="24"/>
        </w:rPr>
        <w:t>6</w:t>
      </w:r>
      <w:r>
        <w:rPr>
          <w:b/>
          <w:sz w:val="24"/>
          <w:szCs w:val="24"/>
        </w:rPr>
        <w:t xml:space="preserve">.   </w:t>
      </w:r>
      <w:r w:rsidR="00211A2E" w:rsidRPr="005C30F2">
        <w:rPr>
          <w:b/>
          <w:sz w:val="24"/>
          <w:szCs w:val="24"/>
        </w:rPr>
        <w:t>Is a CDR for children the same thing as an age 18 review?</w:t>
      </w:r>
      <w:r w:rsidRPr="005C30F2">
        <w:rPr>
          <w:sz w:val="24"/>
          <w:szCs w:val="24"/>
        </w:rPr>
        <w:t xml:space="preserve"> No. Remember SSA uses th</w:t>
      </w:r>
      <w:r>
        <w:rPr>
          <w:sz w:val="24"/>
          <w:szCs w:val="24"/>
        </w:rPr>
        <w:t xml:space="preserve">e </w:t>
      </w:r>
      <w:r w:rsidR="00211A2E" w:rsidRPr="005C30F2">
        <w:rPr>
          <w:sz w:val="24"/>
          <w:szCs w:val="24"/>
        </w:rPr>
        <w:t xml:space="preserve">medical improvement standard for CDRs for children under age 18.   However, children who were eligible for SSI prior to turning 18 will not receive a CDR using the medical improvement standard at age 18. </w:t>
      </w:r>
      <w:r w:rsidR="00A90B88" w:rsidRPr="005C30F2">
        <w:rPr>
          <w:sz w:val="24"/>
          <w:szCs w:val="24"/>
        </w:rPr>
        <w:t xml:space="preserve"> Instead, </w:t>
      </w:r>
      <w:r w:rsidR="002F4C6F" w:rsidRPr="005C30F2">
        <w:rPr>
          <w:sz w:val="24"/>
          <w:szCs w:val="24"/>
        </w:rPr>
        <w:t>the</w:t>
      </w:r>
      <w:r w:rsidR="00A90B88" w:rsidRPr="005C30F2">
        <w:rPr>
          <w:sz w:val="24"/>
          <w:szCs w:val="24"/>
        </w:rPr>
        <w:t>y must be redetermined under the adult disability standard within one year from the date they attain age 1</w:t>
      </w:r>
      <w:r w:rsidR="00B63E1F" w:rsidRPr="005C30F2">
        <w:rPr>
          <w:sz w:val="24"/>
          <w:szCs w:val="24"/>
        </w:rPr>
        <w:t>8</w:t>
      </w:r>
      <w:r w:rsidR="00A90B88" w:rsidRPr="005C30F2">
        <w:rPr>
          <w:sz w:val="24"/>
          <w:szCs w:val="24"/>
        </w:rPr>
        <w:t xml:space="preserve">. </w:t>
      </w:r>
      <w:r w:rsidR="00DE75FD" w:rsidRPr="005C30F2">
        <w:rPr>
          <w:sz w:val="24"/>
          <w:szCs w:val="24"/>
        </w:rPr>
        <w:t xml:space="preserve"> The timeframes for child reviews are different than adults. </w:t>
      </w:r>
      <w:r w:rsidR="00A90B88" w:rsidRPr="005C30F2">
        <w:rPr>
          <w:sz w:val="24"/>
          <w:szCs w:val="24"/>
        </w:rPr>
        <w:t xml:space="preserve"> SSA will notify a recipient that a review has begun an</w:t>
      </w:r>
      <w:r w:rsidR="00B63E1F" w:rsidRPr="005C30F2">
        <w:rPr>
          <w:sz w:val="24"/>
          <w:szCs w:val="24"/>
        </w:rPr>
        <w:t>d</w:t>
      </w:r>
      <w:r w:rsidR="00A90B88" w:rsidRPr="005C30F2">
        <w:rPr>
          <w:sz w:val="24"/>
          <w:szCs w:val="24"/>
        </w:rPr>
        <w:t xml:space="preserve"> will invite the recipient to submit evidenc</w:t>
      </w:r>
      <w:r w:rsidR="002F4C6F" w:rsidRPr="005C30F2">
        <w:rPr>
          <w:sz w:val="24"/>
          <w:szCs w:val="24"/>
        </w:rPr>
        <w:t xml:space="preserve">e of continuing disability. </w:t>
      </w:r>
      <w:r w:rsidR="00E303BD">
        <w:rPr>
          <w:sz w:val="24"/>
          <w:szCs w:val="24"/>
        </w:rPr>
        <w:t xml:space="preserve">The SOAR case manager can assist DDS with providing updated medical and functional information. </w:t>
      </w:r>
    </w:p>
    <w:p w14:paraId="5868C294" w14:textId="1D7BEF49" w:rsidR="005C30F2" w:rsidRDefault="002F4C6F" w:rsidP="00C173DB">
      <w:pPr>
        <w:ind w:left="720" w:hanging="360"/>
        <w:rPr>
          <w:sz w:val="24"/>
          <w:szCs w:val="24"/>
        </w:rPr>
      </w:pPr>
      <w:r w:rsidRPr="005C30F2">
        <w:rPr>
          <w:sz w:val="24"/>
          <w:szCs w:val="24"/>
        </w:rPr>
        <w:t xml:space="preserve">[See 20 CFR </w:t>
      </w:r>
      <w:r w:rsidR="00E303BD" w:rsidRPr="005C30F2">
        <w:rPr>
          <w:sz w:val="24"/>
          <w:szCs w:val="24"/>
        </w:rPr>
        <w:t>416.994a (</w:t>
      </w:r>
      <w:r w:rsidRPr="005C30F2">
        <w:rPr>
          <w:sz w:val="24"/>
          <w:szCs w:val="24"/>
        </w:rPr>
        <w:t>f); 416.994a, POMS DI 28005.030(</w:t>
      </w:r>
      <w:r w:rsidR="00E303BD" w:rsidRPr="005C30F2">
        <w:rPr>
          <w:sz w:val="24"/>
          <w:szCs w:val="24"/>
        </w:rPr>
        <w:t>C)</w:t>
      </w:r>
      <w:r w:rsidRPr="005C30F2">
        <w:rPr>
          <w:sz w:val="24"/>
          <w:szCs w:val="24"/>
        </w:rPr>
        <w:t xml:space="preserve">; </w:t>
      </w:r>
      <w:r w:rsidR="00E303BD" w:rsidRPr="005C30F2">
        <w:rPr>
          <w:sz w:val="24"/>
          <w:szCs w:val="24"/>
        </w:rPr>
        <w:t>416.994a (</w:t>
      </w:r>
      <w:r w:rsidRPr="005C30F2">
        <w:rPr>
          <w:sz w:val="24"/>
          <w:szCs w:val="24"/>
        </w:rPr>
        <w:t>i)</w:t>
      </w:r>
      <w:r w:rsidR="00E303BD">
        <w:rPr>
          <w:sz w:val="24"/>
          <w:szCs w:val="24"/>
        </w:rPr>
        <w:t>]</w:t>
      </w:r>
    </w:p>
    <w:p w14:paraId="36977E0A" w14:textId="77777777" w:rsidR="00FC44B1" w:rsidRDefault="005C30F2" w:rsidP="00FC44B1">
      <w:pPr>
        <w:ind w:left="360" w:hanging="360"/>
        <w:rPr>
          <w:sz w:val="24"/>
          <w:szCs w:val="24"/>
        </w:rPr>
      </w:pPr>
      <w:r>
        <w:rPr>
          <w:sz w:val="24"/>
          <w:szCs w:val="24"/>
        </w:rPr>
        <w:t>7.</w:t>
      </w:r>
      <w:r>
        <w:rPr>
          <w:b/>
          <w:sz w:val="24"/>
          <w:szCs w:val="24"/>
        </w:rPr>
        <w:tab/>
      </w:r>
      <w:r w:rsidR="00B63E1F" w:rsidRPr="005C30F2">
        <w:rPr>
          <w:b/>
          <w:sz w:val="24"/>
          <w:szCs w:val="24"/>
        </w:rPr>
        <w:t>Can you</w:t>
      </w:r>
      <w:r w:rsidR="00A90B88" w:rsidRPr="005C30F2">
        <w:rPr>
          <w:b/>
          <w:sz w:val="24"/>
          <w:szCs w:val="24"/>
        </w:rPr>
        <w:t xml:space="preserve"> continu</w:t>
      </w:r>
      <w:r w:rsidR="00B63E1F" w:rsidRPr="005C30F2">
        <w:rPr>
          <w:b/>
          <w:sz w:val="24"/>
          <w:szCs w:val="24"/>
        </w:rPr>
        <w:t xml:space="preserve">e </w:t>
      </w:r>
      <w:r w:rsidR="00DE75FD" w:rsidRPr="005C30F2">
        <w:rPr>
          <w:b/>
          <w:sz w:val="24"/>
          <w:szCs w:val="24"/>
        </w:rPr>
        <w:t>to receive</w:t>
      </w:r>
      <w:r w:rsidR="00A90B88" w:rsidRPr="005C30F2">
        <w:rPr>
          <w:b/>
          <w:sz w:val="24"/>
          <w:szCs w:val="24"/>
        </w:rPr>
        <w:t xml:space="preserve"> benefits during an appeal?</w:t>
      </w:r>
      <w:r w:rsidR="00A90B88" w:rsidRPr="005C30F2">
        <w:rPr>
          <w:sz w:val="24"/>
          <w:szCs w:val="24"/>
        </w:rPr>
        <w:t xml:space="preserve"> Yes, at both the </w:t>
      </w:r>
      <w:r w:rsidR="00DE75FD" w:rsidRPr="005C30F2">
        <w:rPr>
          <w:sz w:val="24"/>
          <w:szCs w:val="24"/>
        </w:rPr>
        <w:t xml:space="preserve">CDR </w:t>
      </w:r>
      <w:r w:rsidR="00A90B88" w:rsidRPr="005C30F2">
        <w:rPr>
          <w:sz w:val="24"/>
          <w:szCs w:val="24"/>
        </w:rPr>
        <w:t>Reconsideration and ALJ levels. To recei</w:t>
      </w:r>
      <w:r w:rsidR="00A2272B" w:rsidRPr="005C30F2">
        <w:rPr>
          <w:sz w:val="24"/>
          <w:szCs w:val="24"/>
        </w:rPr>
        <w:t>ve</w:t>
      </w:r>
      <w:r w:rsidR="00A90B88" w:rsidRPr="005C30F2">
        <w:rPr>
          <w:sz w:val="24"/>
          <w:szCs w:val="24"/>
        </w:rPr>
        <w:t xml:space="preserve"> benefits continuing through reconsideration </w:t>
      </w:r>
      <w:r w:rsidR="00A2272B" w:rsidRPr="005C30F2">
        <w:rPr>
          <w:sz w:val="24"/>
          <w:szCs w:val="24"/>
        </w:rPr>
        <w:lastRenderedPageBreak/>
        <w:t>decision</w:t>
      </w:r>
      <w:r w:rsidR="00A90B88" w:rsidRPr="005C30F2">
        <w:rPr>
          <w:sz w:val="24"/>
          <w:szCs w:val="24"/>
        </w:rPr>
        <w:t xml:space="preserve">, claimants must appeal </w:t>
      </w:r>
      <w:r w:rsidR="00A90B88" w:rsidRPr="00E303BD">
        <w:rPr>
          <w:sz w:val="24"/>
          <w:szCs w:val="24"/>
          <w:u w:val="single"/>
        </w:rPr>
        <w:t>an</w:t>
      </w:r>
      <w:r w:rsidR="00E303BD" w:rsidRPr="00E303BD">
        <w:rPr>
          <w:sz w:val="24"/>
          <w:szCs w:val="24"/>
          <w:u w:val="single"/>
        </w:rPr>
        <w:t>d</w:t>
      </w:r>
      <w:r w:rsidR="00A90B88" w:rsidRPr="005C30F2">
        <w:rPr>
          <w:sz w:val="24"/>
          <w:szCs w:val="24"/>
        </w:rPr>
        <w:t xml:space="preserve"> elect continuing </w:t>
      </w:r>
      <w:r w:rsidR="00A2272B" w:rsidRPr="005C30F2">
        <w:rPr>
          <w:sz w:val="24"/>
          <w:szCs w:val="24"/>
        </w:rPr>
        <w:t>benefits</w:t>
      </w:r>
      <w:r w:rsidR="00A90B88" w:rsidRPr="005C30F2">
        <w:rPr>
          <w:sz w:val="24"/>
          <w:szCs w:val="24"/>
        </w:rPr>
        <w:t xml:space="preserve"> within 10 days of receipt of the Reconsideration </w:t>
      </w:r>
      <w:proofErr w:type="gramStart"/>
      <w:r w:rsidR="00A90B88" w:rsidRPr="005C30F2">
        <w:rPr>
          <w:sz w:val="24"/>
          <w:szCs w:val="24"/>
        </w:rPr>
        <w:t>decision.</w:t>
      </w:r>
      <w:proofErr w:type="gramEnd"/>
      <w:r w:rsidR="00A90B88" w:rsidRPr="005C30F2">
        <w:rPr>
          <w:sz w:val="24"/>
          <w:szCs w:val="24"/>
        </w:rPr>
        <w:t xml:space="preserve">  The good </w:t>
      </w:r>
      <w:r w:rsidR="00A2272B" w:rsidRPr="005C30F2">
        <w:rPr>
          <w:sz w:val="24"/>
          <w:szCs w:val="24"/>
        </w:rPr>
        <w:t>cause</w:t>
      </w:r>
      <w:r w:rsidR="00A90B88" w:rsidRPr="005C30F2">
        <w:rPr>
          <w:sz w:val="24"/>
          <w:szCs w:val="24"/>
        </w:rPr>
        <w:t xml:space="preserve"> for la</w:t>
      </w:r>
      <w:r w:rsidR="00DE75FD" w:rsidRPr="005C30F2">
        <w:rPr>
          <w:sz w:val="24"/>
          <w:szCs w:val="24"/>
        </w:rPr>
        <w:t>te</w:t>
      </w:r>
      <w:r w:rsidR="00A90B88" w:rsidRPr="005C30F2">
        <w:rPr>
          <w:sz w:val="24"/>
          <w:szCs w:val="24"/>
        </w:rPr>
        <w:t xml:space="preserve"> appeal rules also apply to the 10 day continued </w:t>
      </w:r>
      <w:r w:rsidR="00A2272B" w:rsidRPr="005C30F2">
        <w:rPr>
          <w:sz w:val="24"/>
          <w:szCs w:val="24"/>
        </w:rPr>
        <w:t>benefit</w:t>
      </w:r>
      <w:r w:rsidR="00A90B88" w:rsidRPr="005C30F2">
        <w:rPr>
          <w:sz w:val="24"/>
          <w:szCs w:val="24"/>
        </w:rPr>
        <w:t xml:space="preserve"> election period.  When electing benefits continuing, </w:t>
      </w:r>
      <w:r w:rsidR="00A2272B" w:rsidRPr="005C30F2">
        <w:rPr>
          <w:sz w:val="24"/>
          <w:szCs w:val="24"/>
        </w:rPr>
        <w:t>claimants</w:t>
      </w:r>
      <w:r w:rsidR="00A90B88" w:rsidRPr="005C30F2">
        <w:rPr>
          <w:sz w:val="24"/>
          <w:szCs w:val="24"/>
        </w:rPr>
        <w:t xml:space="preserve"> will be required to </w:t>
      </w:r>
      <w:r w:rsidR="00A2272B" w:rsidRPr="005C30F2">
        <w:rPr>
          <w:sz w:val="24"/>
          <w:szCs w:val="24"/>
        </w:rPr>
        <w:t>compete</w:t>
      </w:r>
      <w:r w:rsidR="00A90B88" w:rsidRPr="005C30F2">
        <w:rPr>
          <w:sz w:val="24"/>
          <w:szCs w:val="24"/>
        </w:rPr>
        <w:t xml:space="preserve"> a </w:t>
      </w:r>
      <w:r w:rsidR="00A2272B" w:rsidRPr="005C30F2">
        <w:rPr>
          <w:sz w:val="24"/>
          <w:szCs w:val="24"/>
        </w:rPr>
        <w:t>statement</w:t>
      </w:r>
      <w:r w:rsidR="00A90B88" w:rsidRPr="005C30F2">
        <w:rPr>
          <w:sz w:val="24"/>
          <w:szCs w:val="24"/>
        </w:rPr>
        <w:t xml:space="preserve"> of choice.</w:t>
      </w:r>
      <w:r w:rsidR="002F4C6F" w:rsidRPr="005C30F2">
        <w:rPr>
          <w:rFonts w:ascii="Segoe UI" w:hAnsi="Segoe UI" w:cs="Segoe UI"/>
          <w:color w:val="333333"/>
        </w:rPr>
        <w:t xml:space="preserve"> </w:t>
      </w:r>
      <w:r w:rsidR="002F4C6F" w:rsidRPr="005C30F2">
        <w:rPr>
          <w:sz w:val="24"/>
          <w:szCs w:val="24"/>
        </w:rPr>
        <w:t>Please go to POMS OS 15010.425 for a current copy of the form.</w:t>
      </w:r>
      <w:r w:rsidR="00A90B88" w:rsidRPr="005C30F2">
        <w:rPr>
          <w:sz w:val="24"/>
          <w:szCs w:val="24"/>
        </w:rPr>
        <w:t xml:space="preserve"> </w:t>
      </w:r>
    </w:p>
    <w:p w14:paraId="45FD9A42" w14:textId="6CCB1A26" w:rsidR="005C30F2" w:rsidRDefault="00DE75FD" w:rsidP="00C173DB">
      <w:pPr>
        <w:ind w:left="720" w:hanging="360"/>
        <w:rPr>
          <w:sz w:val="24"/>
          <w:szCs w:val="24"/>
        </w:rPr>
      </w:pPr>
      <w:r w:rsidRPr="005C30F2">
        <w:rPr>
          <w:sz w:val="24"/>
          <w:szCs w:val="24"/>
        </w:rPr>
        <w:t>[</w:t>
      </w:r>
      <w:r w:rsidR="00A90B88" w:rsidRPr="005C30F2">
        <w:rPr>
          <w:sz w:val="24"/>
          <w:szCs w:val="24"/>
        </w:rPr>
        <w:t xml:space="preserve">See </w:t>
      </w:r>
      <w:r w:rsidRPr="005C30F2">
        <w:rPr>
          <w:sz w:val="24"/>
          <w:szCs w:val="24"/>
        </w:rPr>
        <w:t>404.1597a(f)(2)&amp;(g)(3), 416.996( c)(2)&amp;(d)(2); 404.1597(a)(d), 416.996(b)]</w:t>
      </w:r>
    </w:p>
    <w:p w14:paraId="2D139E6F" w14:textId="77777777" w:rsidR="005C30F2" w:rsidRDefault="005C30F2" w:rsidP="00C173DB">
      <w:pPr>
        <w:ind w:left="360" w:hanging="360"/>
        <w:rPr>
          <w:sz w:val="24"/>
          <w:szCs w:val="24"/>
        </w:rPr>
      </w:pPr>
      <w:r>
        <w:rPr>
          <w:sz w:val="24"/>
          <w:szCs w:val="24"/>
        </w:rPr>
        <w:t xml:space="preserve">8. </w:t>
      </w:r>
      <w:r>
        <w:rPr>
          <w:b/>
          <w:sz w:val="24"/>
          <w:szCs w:val="24"/>
        </w:rPr>
        <w:t xml:space="preserve">  </w:t>
      </w:r>
      <w:r w:rsidR="00DE75FD" w:rsidRPr="005C30F2">
        <w:rPr>
          <w:b/>
          <w:sz w:val="24"/>
          <w:szCs w:val="24"/>
        </w:rPr>
        <w:t>Our SOAR Program does not perform appeals or CDRs.</w:t>
      </w:r>
      <w:r w:rsidR="00DE75FD" w:rsidRPr="005C30F2">
        <w:rPr>
          <w:sz w:val="24"/>
          <w:szCs w:val="24"/>
        </w:rPr>
        <w:t xml:space="preserve"> </w:t>
      </w:r>
      <w:r w:rsidR="00DE75FD" w:rsidRPr="005C30F2">
        <w:rPr>
          <w:b/>
          <w:sz w:val="24"/>
          <w:szCs w:val="24"/>
        </w:rPr>
        <w:t>How should we proceed in these cases?</w:t>
      </w:r>
      <w:r w:rsidR="00DE75FD" w:rsidRPr="005C30F2">
        <w:rPr>
          <w:sz w:val="24"/>
          <w:szCs w:val="24"/>
        </w:rPr>
        <w:t xml:space="preserve"> If necessary, refer to your local Legal Services program. Also, check your state policy regarding attorney responsibility to provide pro bono “without fee or expectation of fee” legal services. </w:t>
      </w:r>
      <w:r w:rsidR="00E303BD">
        <w:rPr>
          <w:sz w:val="24"/>
          <w:szCs w:val="24"/>
        </w:rPr>
        <w:t xml:space="preserve"> Review the webinar on tips for how you can assist with providing updated medical and functional documentation and aid paid pending appeal. </w:t>
      </w:r>
    </w:p>
    <w:p w14:paraId="46B71FD0" w14:textId="1815097F" w:rsidR="00FC44B1" w:rsidRDefault="005C30F2" w:rsidP="00C173DB">
      <w:pPr>
        <w:ind w:left="360" w:hanging="360"/>
        <w:rPr>
          <w:sz w:val="24"/>
          <w:szCs w:val="24"/>
        </w:rPr>
      </w:pPr>
      <w:r>
        <w:rPr>
          <w:sz w:val="24"/>
          <w:szCs w:val="24"/>
        </w:rPr>
        <w:t xml:space="preserve">9.  </w:t>
      </w:r>
      <w:r>
        <w:rPr>
          <w:b/>
          <w:sz w:val="24"/>
          <w:szCs w:val="24"/>
        </w:rPr>
        <w:t xml:space="preserve"> </w:t>
      </w:r>
      <w:r w:rsidR="00DE75FD" w:rsidRPr="005C30F2">
        <w:rPr>
          <w:b/>
          <w:sz w:val="24"/>
          <w:szCs w:val="24"/>
        </w:rPr>
        <w:t xml:space="preserve">Is there anything you can do as the representative to waive an overpayment of continued benefits? </w:t>
      </w:r>
      <w:r w:rsidR="00DE75FD" w:rsidRPr="005C30F2">
        <w:rPr>
          <w:sz w:val="24"/>
          <w:szCs w:val="24"/>
        </w:rPr>
        <w:t>Yes, if the medical termination was appealed in good faith. This means the individual cooperated in connection with the appeal, and SSA recovering these funds would defeat the purpose of the SSA Act, i.e.) claimant would be unable to pa</w:t>
      </w:r>
      <w:r w:rsidR="00527E20">
        <w:rPr>
          <w:sz w:val="24"/>
          <w:szCs w:val="24"/>
        </w:rPr>
        <w:t>y rent, buy food, etc.</w:t>
      </w:r>
      <w:bookmarkStart w:id="0" w:name="_GoBack"/>
      <w:bookmarkEnd w:id="0"/>
    </w:p>
    <w:p w14:paraId="64B1D499" w14:textId="7A4C39B6" w:rsidR="005C30F2" w:rsidRDefault="00E303BD" w:rsidP="00C173DB">
      <w:pPr>
        <w:ind w:left="720" w:hanging="360"/>
        <w:rPr>
          <w:sz w:val="24"/>
          <w:szCs w:val="24"/>
        </w:rPr>
      </w:pPr>
      <w:r>
        <w:rPr>
          <w:sz w:val="24"/>
          <w:szCs w:val="24"/>
        </w:rPr>
        <w:t>[</w:t>
      </w:r>
      <w:r w:rsidR="00DE75FD" w:rsidRPr="005C30F2">
        <w:rPr>
          <w:sz w:val="24"/>
          <w:szCs w:val="24"/>
        </w:rPr>
        <w:t xml:space="preserve">See 20 CFR </w:t>
      </w:r>
      <w:r w:rsidR="005C30F2" w:rsidRPr="005C30F2">
        <w:rPr>
          <w:sz w:val="24"/>
          <w:szCs w:val="24"/>
        </w:rPr>
        <w:t>404.1597a (</w:t>
      </w:r>
      <w:r w:rsidR="00DE75FD" w:rsidRPr="005C30F2">
        <w:rPr>
          <w:sz w:val="24"/>
          <w:szCs w:val="24"/>
        </w:rPr>
        <w:t>j), 416.996(g), POMS GN 02250.036, SI 00260.0070</w:t>
      </w:r>
      <w:r>
        <w:rPr>
          <w:sz w:val="24"/>
          <w:szCs w:val="24"/>
        </w:rPr>
        <w:t>]</w:t>
      </w:r>
    </w:p>
    <w:p w14:paraId="73726779" w14:textId="002D5D00" w:rsidR="00FC44B1" w:rsidRDefault="005C30F2" w:rsidP="00C173DB">
      <w:pPr>
        <w:ind w:left="360" w:hanging="360"/>
        <w:rPr>
          <w:sz w:val="24"/>
          <w:szCs w:val="24"/>
        </w:rPr>
      </w:pPr>
      <w:r>
        <w:rPr>
          <w:sz w:val="24"/>
          <w:szCs w:val="24"/>
        </w:rPr>
        <w:t>10.</w:t>
      </w:r>
      <w:r>
        <w:rPr>
          <w:b/>
          <w:sz w:val="24"/>
          <w:szCs w:val="24"/>
        </w:rPr>
        <w:t xml:space="preserve"> </w:t>
      </w:r>
      <w:r w:rsidR="00DE75FD" w:rsidRPr="005C30F2">
        <w:rPr>
          <w:b/>
          <w:sz w:val="24"/>
          <w:szCs w:val="24"/>
        </w:rPr>
        <w:t>Does the CDR follow a sequential evaluation analysis similar to the initial application for SSI and SSDI benefits?</w:t>
      </w:r>
      <w:r w:rsidR="00DE75FD" w:rsidRPr="005C30F2">
        <w:rPr>
          <w:sz w:val="24"/>
          <w:szCs w:val="24"/>
        </w:rPr>
        <w:t xml:space="preserve">  Yes, there is a 7 Step Medical Improvement</w:t>
      </w:r>
      <w:r w:rsidR="00FC44B1">
        <w:rPr>
          <w:sz w:val="24"/>
          <w:szCs w:val="24"/>
        </w:rPr>
        <w:t xml:space="preserve"> Review</w:t>
      </w:r>
      <w:r w:rsidR="00DE75FD" w:rsidRPr="005C30F2">
        <w:rPr>
          <w:sz w:val="24"/>
          <w:szCs w:val="24"/>
        </w:rPr>
        <w:t xml:space="preserve"> Standard (MIRS) analysis for adults. Note: Step 4 is where you determine First and Second Group exceptions.</w:t>
      </w:r>
    </w:p>
    <w:p w14:paraId="1535EE57" w14:textId="6755797A" w:rsidR="00DE75FD" w:rsidRPr="005C30F2" w:rsidRDefault="00E303BD" w:rsidP="00C173DB">
      <w:pPr>
        <w:ind w:left="720" w:hanging="360"/>
        <w:rPr>
          <w:sz w:val="24"/>
          <w:szCs w:val="24"/>
        </w:rPr>
      </w:pPr>
      <w:r>
        <w:rPr>
          <w:sz w:val="24"/>
          <w:szCs w:val="24"/>
        </w:rPr>
        <w:t>[</w:t>
      </w:r>
      <w:r w:rsidR="00DE75FD" w:rsidRPr="005C30F2">
        <w:rPr>
          <w:sz w:val="24"/>
          <w:szCs w:val="24"/>
        </w:rPr>
        <w:t xml:space="preserve">See 20 CFR 404.1594(f), 416.004(b)(5); POMS </w:t>
      </w:r>
      <w:r>
        <w:rPr>
          <w:sz w:val="24"/>
          <w:szCs w:val="24"/>
        </w:rPr>
        <w:t>DI 13000.000, POMS DI 28000.000]</w:t>
      </w:r>
    </w:p>
    <w:p w14:paraId="510543A4" w14:textId="77777777" w:rsidR="006D6F17" w:rsidRDefault="006D6F17" w:rsidP="006D6F17">
      <w:pPr>
        <w:rPr>
          <w:sz w:val="24"/>
          <w:szCs w:val="24"/>
        </w:rPr>
      </w:pPr>
    </w:p>
    <w:p w14:paraId="5200C1B8" w14:textId="55222B2A" w:rsidR="00403D04" w:rsidRPr="00403D04" w:rsidRDefault="007424CF" w:rsidP="006D6F17">
      <w:pPr>
        <w:rPr>
          <w:sz w:val="24"/>
          <w:szCs w:val="24"/>
        </w:rPr>
      </w:pPr>
      <w:r>
        <w:rPr>
          <w:sz w:val="24"/>
          <w:szCs w:val="24"/>
        </w:rPr>
        <w:t xml:space="preserve">For additional questions on CDRs, please speak to your </w:t>
      </w:r>
      <w:r w:rsidR="00FC44B1">
        <w:rPr>
          <w:sz w:val="24"/>
          <w:szCs w:val="24"/>
        </w:rPr>
        <w:t xml:space="preserve">local </w:t>
      </w:r>
      <w:r>
        <w:rPr>
          <w:sz w:val="24"/>
          <w:szCs w:val="24"/>
        </w:rPr>
        <w:t xml:space="preserve">SSA contact or the SOAR TA Center at </w:t>
      </w:r>
      <w:hyperlink r:id="rId8" w:history="1">
        <w:r w:rsidRPr="005E5FB4">
          <w:rPr>
            <w:rStyle w:val="Hyperlink"/>
            <w:sz w:val="24"/>
            <w:szCs w:val="24"/>
          </w:rPr>
          <w:t>soar@prainc.com</w:t>
        </w:r>
      </w:hyperlink>
      <w:r>
        <w:rPr>
          <w:sz w:val="24"/>
          <w:szCs w:val="24"/>
        </w:rPr>
        <w:t>. Thank you!</w:t>
      </w:r>
    </w:p>
    <w:sectPr w:rsidR="00403D04" w:rsidRPr="00403D04" w:rsidSect="006D6F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B6FE1" w14:textId="77777777" w:rsidR="00FC44B1" w:rsidRDefault="00FC44B1" w:rsidP="000C09FC">
      <w:pPr>
        <w:spacing w:after="0" w:line="240" w:lineRule="auto"/>
      </w:pPr>
      <w:r>
        <w:separator/>
      </w:r>
    </w:p>
  </w:endnote>
  <w:endnote w:type="continuationSeparator" w:id="0">
    <w:p w14:paraId="6BF9FFFB" w14:textId="77777777" w:rsidR="00FC44B1" w:rsidRDefault="00FC44B1" w:rsidP="000C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628C" w14:textId="59B07FDA" w:rsidR="00FC44B1" w:rsidRDefault="00CE75F0" w:rsidP="00CE75F0">
    <w:pPr>
      <w:pStyle w:val="Footer"/>
      <w:pBdr>
        <w:top w:val="single" w:sz="4" w:space="1" w:color="2F5496" w:themeColor="accent5" w:themeShade="BF"/>
      </w:pBdr>
      <w:tabs>
        <w:tab w:val="right" w:pos="10080"/>
      </w:tabs>
      <w:ind w:left="-90"/>
      <w:rPr>
        <w:noProof/>
      </w:rPr>
    </w:pPr>
    <w:r>
      <w:rPr>
        <w:noProof/>
      </w:rPr>
      <w:t>SSI/SSDI Outreach, Access and Recovery (SOAR) Technical Assistance Center</w:t>
    </w:r>
    <w:r>
      <w:rPr>
        <w:noProof/>
      </w:rPr>
      <w:tab/>
    </w:r>
    <w:r>
      <w:rPr>
        <w:noProof/>
      </w:rPr>
      <w:t>June 10,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49334" w14:textId="77777777" w:rsidR="00FC44B1" w:rsidRDefault="00FC44B1" w:rsidP="000C09FC">
      <w:pPr>
        <w:spacing w:after="0" w:line="240" w:lineRule="auto"/>
      </w:pPr>
      <w:r>
        <w:separator/>
      </w:r>
    </w:p>
  </w:footnote>
  <w:footnote w:type="continuationSeparator" w:id="0">
    <w:p w14:paraId="7B1A6264" w14:textId="77777777" w:rsidR="00FC44B1" w:rsidRDefault="00FC44B1" w:rsidP="000C0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C7F7" w14:textId="0C396584" w:rsidR="00FC44B1" w:rsidRDefault="00CE75F0" w:rsidP="00CE75F0">
    <w:pPr>
      <w:tabs>
        <w:tab w:val="right" w:pos="10080"/>
      </w:tabs>
    </w:pPr>
    <w:r w:rsidRPr="00C8539D">
      <w:rPr>
        <w:noProof/>
      </w:rPr>
      <w:drawing>
        <wp:anchor distT="0" distB="0" distL="114300" distR="114300" simplePos="0" relativeHeight="251659264" behindDoc="1" locked="0" layoutInCell="1" allowOverlap="1" wp14:anchorId="529D95F0" wp14:editId="028DFD92">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1C45744D" wp14:editId="2F8B7289">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2095"/>
    <w:multiLevelType w:val="hybridMultilevel"/>
    <w:tmpl w:val="3598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E0C35"/>
    <w:multiLevelType w:val="hybridMultilevel"/>
    <w:tmpl w:val="6B1A31AE"/>
    <w:lvl w:ilvl="0" w:tplc="0BECDB6C">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6421C"/>
    <w:multiLevelType w:val="hybridMultilevel"/>
    <w:tmpl w:val="DD84B7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504FCC"/>
    <w:multiLevelType w:val="hybridMultilevel"/>
    <w:tmpl w:val="46A0E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92C3B"/>
    <w:multiLevelType w:val="hybridMultilevel"/>
    <w:tmpl w:val="E9EA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F055A"/>
    <w:multiLevelType w:val="hybridMultilevel"/>
    <w:tmpl w:val="AA80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C56A0"/>
    <w:multiLevelType w:val="hybridMultilevel"/>
    <w:tmpl w:val="F400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05D26"/>
    <w:multiLevelType w:val="hybridMultilevel"/>
    <w:tmpl w:val="7034D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A4"/>
    <w:rsid w:val="00031EDB"/>
    <w:rsid w:val="000C09FC"/>
    <w:rsid w:val="000E5668"/>
    <w:rsid w:val="001A6EA1"/>
    <w:rsid w:val="00203815"/>
    <w:rsid w:val="00211A2E"/>
    <w:rsid w:val="002F4C6F"/>
    <w:rsid w:val="0034157D"/>
    <w:rsid w:val="00403D04"/>
    <w:rsid w:val="00527E20"/>
    <w:rsid w:val="005C30F2"/>
    <w:rsid w:val="006D6F17"/>
    <w:rsid w:val="007424CF"/>
    <w:rsid w:val="0075364C"/>
    <w:rsid w:val="00801BC3"/>
    <w:rsid w:val="00A2272B"/>
    <w:rsid w:val="00A90B88"/>
    <w:rsid w:val="00AF6F72"/>
    <w:rsid w:val="00B136D9"/>
    <w:rsid w:val="00B6269E"/>
    <w:rsid w:val="00B63E1F"/>
    <w:rsid w:val="00B978A3"/>
    <w:rsid w:val="00C173DB"/>
    <w:rsid w:val="00C534A4"/>
    <w:rsid w:val="00CC0F46"/>
    <w:rsid w:val="00CE75F0"/>
    <w:rsid w:val="00D76C01"/>
    <w:rsid w:val="00DE75FD"/>
    <w:rsid w:val="00E303BD"/>
    <w:rsid w:val="00FC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41A408"/>
  <w15:docId w15:val="{2CC18F8B-5E08-432B-BD09-2E96E1DA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4A4"/>
    <w:rPr>
      <w:color w:val="0563C1" w:themeColor="hyperlink"/>
      <w:u w:val="single"/>
    </w:rPr>
  </w:style>
  <w:style w:type="character" w:styleId="FollowedHyperlink">
    <w:name w:val="FollowedHyperlink"/>
    <w:basedOn w:val="DefaultParagraphFont"/>
    <w:uiPriority w:val="99"/>
    <w:semiHidden/>
    <w:unhideWhenUsed/>
    <w:rsid w:val="00C534A4"/>
    <w:rPr>
      <w:color w:val="954F72" w:themeColor="followedHyperlink"/>
      <w:u w:val="single"/>
    </w:rPr>
  </w:style>
  <w:style w:type="paragraph" w:styleId="ListParagraph">
    <w:name w:val="List Paragraph"/>
    <w:basedOn w:val="Normal"/>
    <w:uiPriority w:val="34"/>
    <w:qFormat/>
    <w:rsid w:val="00C534A4"/>
    <w:pPr>
      <w:ind w:left="720"/>
      <w:contextualSpacing/>
    </w:pPr>
  </w:style>
  <w:style w:type="paragraph" w:styleId="Header">
    <w:name w:val="header"/>
    <w:basedOn w:val="Normal"/>
    <w:link w:val="HeaderChar"/>
    <w:uiPriority w:val="99"/>
    <w:unhideWhenUsed/>
    <w:rsid w:val="000C0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9FC"/>
  </w:style>
  <w:style w:type="paragraph" w:styleId="Footer">
    <w:name w:val="footer"/>
    <w:basedOn w:val="Normal"/>
    <w:link w:val="FooterChar"/>
    <w:uiPriority w:val="99"/>
    <w:unhideWhenUsed/>
    <w:qFormat/>
    <w:rsid w:val="000C0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9FC"/>
  </w:style>
  <w:style w:type="paragraph" w:styleId="BalloonText">
    <w:name w:val="Balloon Text"/>
    <w:basedOn w:val="Normal"/>
    <w:link w:val="BalloonTextChar"/>
    <w:uiPriority w:val="99"/>
    <w:semiHidden/>
    <w:unhideWhenUsed/>
    <w:rsid w:val="006D6F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F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ar@prainc.com" TargetMode="External"/><Relationship Id="rId3" Type="http://schemas.openxmlformats.org/officeDocument/2006/relationships/settings" Target="settings.xml"/><Relationship Id="rId7" Type="http://schemas.openxmlformats.org/officeDocument/2006/relationships/hyperlink" Target="http://www.ssa.gov/policy/docs/ssb/v48n4/v48n4p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Heine</dc:creator>
  <cp:keywords/>
  <dc:description/>
  <cp:lastModifiedBy>Suzy Sodergren</cp:lastModifiedBy>
  <cp:revision>4</cp:revision>
  <dcterms:created xsi:type="dcterms:W3CDTF">2015-06-10T16:30:00Z</dcterms:created>
  <dcterms:modified xsi:type="dcterms:W3CDTF">2015-06-10T16:32:00Z</dcterms:modified>
</cp:coreProperties>
</file>